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55C4" w:rsidRPr="004155C4" w:rsidRDefault="004155C4" w:rsidP="004155C4">
      <w:pPr>
        <w:pStyle w:val="BodyText"/>
        <w:jc w:val="center"/>
        <w:rPr>
          <w:rFonts w:ascii="Gill Sans" w:hAnsi="Gill Sans"/>
          <w:b/>
          <w:bCs/>
          <w:i/>
          <w:sz w:val="44"/>
        </w:rPr>
      </w:pPr>
      <w:r w:rsidRPr="004155C4">
        <w:rPr>
          <w:rFonts w:ascii="Gill Sans" w:hAnsi="Gill Sans"/>
          <w:b/>
          <w:bCs/>
          <w:sz w:val="44"/>
        </w:rPr>
        <w:t>Times and Seasons</w:t>
      </w:r>
    </w:p>
    <w:p w:rsidR="004155C4" w:rsidRPr="004155C4" w:rsidRDefault="004155C4" w:rsidP="004155C4">
      <w:pPr>
        <w:pStyle w:val="BodyText"/>
        <w:jc w:val="center"/>
        <w:rPr>
          <w:rFonts w:ascii="Gill Sans" w:hAnsi="Gill Sans"/>
          <w:b/>
          <w:bCs/>
          <w:i/>
          <w:sz w:val="44"/>
        </w:rPr>
      </w:pPr>
    </w:p>
    <w:p w:rsidR="004155C4" w:rsidRPr="004155C4" w:rsidRDefault="004155C4" w:rsidP="004155C4">
      <w:pPr>
        <w:pStyle w:val="BodyText"/>
        <w:jc w:val="center"/>
        <w:rPr>
          <w:rFonts w:ascii="Gill Sans" w:hAnsi="Gill Sans"/>
          <w:b/>
          <w:i/>
          <w:sz w:val="36"/>
          <w:szCs w:val="36"/>
        </w:rPr>
      </w:pPr>
      <w:r>
        <w:rPr>
          <w:rFonts w:ascii="Gill Sans" w:hAnsi="Gill Sans"/>
          <w:b/>
          <w:sz w:val="36"/>
          <w:szCs w:val="36"/>
        </w:rPr>
        <w:t>Part 2</w:t>
      </w:r>
      <w:r w:rsidRPr="004155C4">
        <w:rPr>
          <w:rFonts w:ascii="Gill Sans" w:hAnsi="Gill Sans"/>
          <w:b/>
          <w:sz w:val="36"/>
          <w:szCs w:val="36"/>
        </w:rPr>
        <w:t xml:space="preserve"> </w:t>
      </w:r>
      <w:r>
        <w:rPr>
          <w:rFonts w:ascii="Gill Sans" w:hAnsi="Gill Sans"/>
          <w:b/>
          <w:sz w:val="36"/>
          <w:szCs w:val="36"/>
        </w:rPr>
        <w:t>–</w:t>
      </w:r>
      <w:r w:rsidRPr="004155C4">
        <w:rPr>
          <w:rFonts w:ascii="Gill Sans" w:hAnsi="Gill Sans"/>
          <w:b/>
          <w:sz w:val="36"/>
          <w:szCs w:val="36"/>
        </w:rPr>
        <w:t xml:space="preserve"> </w:t>
      </w:r>
      <w:r>
        <w:rPr>
          <w:rFonts w:ascii="Gill Sans" w:hAnsi="Gill Sans"/>
          <w:b/>
          <w:sz w:val="36"/>
          <w:szCs w:val="36"/>
        </w:rPr>
        <w:t>Lent, Holy Week and Easter</w:t>
      </w:r>
    </w:p>
    <w:p w:rsidR="004155C4" w:rsidRPr="004155C4" w:rsidRDefault="004155C4" w:rsidP="004155C4">
      <w:pPr>
        <w:pStyle w:val="BodyText"/>
        <w:jc w:val="center"/>
        <w:rPr>
          <w:rFonts w:ascii="Gill Sans" w:hAnsi="Gill Sans"/>
          <w:b/>
          <w:i/>
          <w:sz w:val="36"/>
          <w:szCs w:val="36"/>
        </w:rPr>
      </w:pPr>
    </w:p>
    <w:p w:rsidR="004155C4" w:rsidRPr="004155C4" w:rsidRDefault="004155C4" w:rsidP="004155C4">
      <w:pPr>
        <w:pStyle w:val="BodyText"/>
        <w:jc w:val="center"/>
        <w:rPr>
          <w:rFonts w:ascii="Gill Sans" w:hAnsi="Gill Sans"/>
          <w:b/>
          <w:i/>
          <w:sz w:val="36"/>
          <w:szCs w:val="36"/>
        </w:rPr>
      </w:pPr>
      <w:r w:rsidRPr="004155C4">
        <w:rPr>
          <w:rFonts w:ascii="Gill Sans" w:hAnsi="Gill Sans"/>
          <w:b/>
          <w:sz w:val="36"/>
          <w:szCs w:val="36"/>
        </w:rPr>
        <w:t>Section 1</w:t>
      </w:r>
    </w:p>
    <w:p w:rsidR="004155C4" w:rsidRPr="004155C4" w:rsidRDefault="004155C4" w:rsidP="004155C4">
      <w:pPr>
        <w:pStyle w:val="BodyText"/>
        <w:rPr>
          <w:rFonts w:ascii="Gill Sans" w:hAnsi="Gill Sans"/>
          <w:b/>
          <w:i/>
          <w:sz w:val="36"/>
          <w:szCs w:val="36"/>
        </w:rPr>
      </w:pPr>
    </w:p>
    <w:p w:rsidR="004155C4" w:rsidRPr="004155C4" w:rsidRDefault="004155C4" w:rsidP="004155C4">
      <w:pPr>
        <w:pStyle w:val="BodyText"/>
        <w:jc w:val="center"/>
        <w:rPr>
          <w:rFonts w:ascii="Gill Sans" w:hAnsi="Gill Sans"/>
          <w:b/>
          <w:i/>
          <w:iCs/>
          <w:sz w:val="36"/>
          <w:szCs w:val="36"/>
        </w:rPr>
      </w:pPr>
      <w:r w:rsidRPr="004155C4">
        <w:rPr>
          <w:rFonts w:ascii="Gill Sans" w:hAnsi="Gill Sans"/>
          <w:b/>
          <w:sz w:val="36"/>
          <w:szCs w:val="36"/>
        </w:rPr>
        <w:t>A Pastoral and Liturgical Introduction</w:t>
      </w:r>
    </w:p>
    <w:p w:rsidR="004155C4" w:rsidRDefault="004155C4" w:rsidP="004155C4">
      <w:pPr>
        <w:pStyle w:val="BodyText"/>
        <w:rPr>
          <w:rFonts w:ascii="Gill Sans" w:hAnsi="Gill Sans"/>
          <w:b/>
          <w:i/>
          <w:iCs/>
        </w:rPr>
      </w:pPr>
    </w:p>
    <w:p w:rsidR="004155C4" w:rsidRPr="004155C4" w:rsidRDefault="004155C4" w:rsidP="004155C4">
      <w:pPr>
        <w:pStyle w:val="BodyText"/>
        <w:rPr>
          <w:rFonts w:ascii="Gill Sans" w:hAnsi="Gill Sans"/>
          <w:b/>
          <w:i/>
          <w:iCs/>
        </w:rPr>
      </w:pPr>
    </w:p>
    <w:p w:rsidR="002D2D42" w:rsidRPr="00F80589" w:rsidRDefault="002D2D42" w:rsidP="004E3E41">
      <w:pPr>
        <w:keepLines/>
        <w:rPr>
          <w:rFonts w:ascii="Gill Sans" w:hAnsi="Gill Sans"/>
        </w:rPr>
      </w:pPr>
      <w:r w:rsidRPr="00F80589">
        <w:rPr>
          <w:rFonts w:ascii="Gill Sans" w:hAnsi="Gill Sans"/>
        </w:rPr>
        <w:t>It is important to emphasise that Lent, Holy Week and Easter are all one season:  a celebration of the resurrection of Jesus Christ, in which we enter the wilderness and the Passion, without losing sight of the Easter promise of eternal life.  It is only in the light of the resurrection that the wilderness and the Passion have meaning.  Through our liturgy, we do not seek to commemorate separate events in the life of Christ, but to celebrate the mystery of the whole of Jesus' saving work.</w:t>
      </w:r>
    </w:p>
    <w:p w:rsidR="002D2D42" w:rsidRPr="00F80589" w:rsidRDefault="002D2D42" w:rsidP="004E3E41">
      <w:pPr>
        <w:keepLines/>
        <w:rPr>
          <w:rFonts w:ascii="Gill Sans" w:hAnsi="Gill Sans"/>
        </w:rPr>
      </w:pPr>
    </w:p>
    <w:p w:rsidR="002D2D42" w:rsidRPr="00F80589" w:rsidRDefault="002D2D42" w:rsidP="004E3E41">
      <w:pPr>
        <w:keepLines/>
        <w:rPr>
          <w:rFonts w:ascii="Gill Sans" w:hAnsi="Gill Sans"/>
        </w:rPr>
      </w:pPr>
      <w:r w:rsidRPr="00F80589">
        <w:rPr>
          <w:rFonts w:ascii="Gill Sans" w:hAnsi="Gill Sans"/>
        </w:rPr>
        <w:t>Lent now begi</w:t>
      </w:r>
      <w:r w:rsidR="00F513A9" w:rsidRPr="00F80589">
        <w:rPr>
          <w:rFonts w:ascii="Gill Sans" w:hAnsi="Gill Sans"/>
        </w:rPr>
        <w:t>ns on Ash Wednesday, the sixth W</w:t>
      </w:r>
      <w:r w:rsidRPr="00F80589">
        <w:rPr>
          <w:rFonts w:ascii="Gill Sans" w:hAnsi="Gill Sans"/>
        </w:rPr>
        <w:t>ednesday before Easter, but has many different origins.</w:t>
      </w:r>
      <w:r w:rsidRPr="00F80589">
        <w:rPr>
          <w:rStyle w:val="FootnoteReference"/>
          <w:rFonts w:ascii="Gill Sans" w:hAnsi="Gill Sans"/>
        </w:rPr>
        <w:footnoteReference w:id="1"/>
      </w:r>
      <w:r w:rsidRPr="00F80589">
        <w:rPr>
          <w:rFonts w:ascii="Gill Sans" w:hAnsi="Gill Sans"/>
        </w:rPr>
        <w:t xml:space="preserve">  From the fourth century onwards, it became standardised as a forty day fast in anticipation of Holy Week as a separate preparatory fast for 'Pascha' – Easter.  Originally, however, it had been a three week fast linked to preparation for baptism</w:t>
      </w:r>
      <w:r w:rsidRPr="00F80589">
        <w:rPr>
          <w:rStyle w:val="FootnoteReference"/>
          <w:rFonts w:ascii="Gill Sans" w:hAnsi="Gill Sans"/>
        </w:rPr>
        <w:footnoteReference w:id="2"/>
      </w:r>
      <w:r w:rsidRPr="00F80589">
        <w:rPr>
          <w:rFonts w:ascii="Gill Sans" w:hAnsi="Gill Sans"/>
        </w:rPr>
        <w:t xml:space="preserve"> and this connection was maintained as Easter became a preferred date for baptism.</w:t>
      </w:r>
    </w:p>
    <w:p w:rsidR="004E3E41" w:rsidRPr="00F80589" w:rsidRDefault="004E3E41">
      <w:pPr>
        <w:rPr>
          <w:rFonts w:ascii="Gill Sans" w:hAnsi="Gill Sans"/>
        </w:rPr>
      </w:pPr>
    </w:p>
    <w:p w:rsidR="002D2D42" w:rsidRPr="00F80589" w:rsidRDefault="002D2D42">
      <w:pPr>
        <w:rPr>
          <w:rFonts w:ascii="Gill Sans" w:hAnsi="Gill Sans"/>
        </w:rPr>
      </w:pPr>
      <w:r w:rsidRPr="00F80589">
        <w:rPr>
          <w:rFonts w:ascii="Gill Sans" w:hAnsi="Gill Sans"/>
        </w:rPr>
        <w:t>The 'Triduum' (three days from Maundy Thursday to the Easter Vigil) also developed from the fourth century.  Origen,</w:t>
      </w:r>
      <w:r w:rsidRPr="00F80589">
        <w:rPr>
          <w:rStyle w:val="FootnoteReference"/>
          <w:rFonts w:ascii="Gill Sans" w:hAnsi="Gill Sans"/>
        </w:rPr>
        <w:footnoteReference w:id="3"/>
      </w:r>
      <w:r w:rsidRPr="00F80589">
        <w:rPr>
          <w:rFonts w:ascii="Gill Sans" w:hAnsi="Gill Sans"/>
        </w:rPr>
        <w:t xml:space="preserve"> in the mid third century, had seen the 'Pascha' in terms of passage, using images of the Red Sea to illustrate the resurrection as passage from death to life.  Other writers focussed more on the Passion, and these two ideas became combined,</w:t>
      </w:r>
      <w:r w:rsidRPr="00F80589">
        <w:rPr>
          <w:rStyle w:val="FootnoteReference"/>
          <w:rFonts w:ascii="Gill Sans" w:hAnsi="Gill Sans"/>
        </w:rPr>
        <w:footnoteReference w:id="4"/>
      </w:r>
      <w:r w:rsidRPr="00F80589">
        <w:rPr>
          <w:rFonts w:ascii="Gill Sans" w:hAnsi="Gill Sans"/>
        </w:rPr>
        <w:t xml:space="preserve"> so the feast emerged as a three day unity, reinforced by liturgical practices in Jerusalem in the late fourth century, such as the veneration of the Cross, vigil and </w:t>
      </w:r>
      <w:proofErr w:type="spellStart"/>
      <w:r w:rsidRPr="00F80589">
        <w:rPr>
          <w:rFonts w:ascii="Gill Sans" w:hAnsi="Gill Sans"/>
        </w:rPr>
        <w:t>lucenarium</w:t>
      </w:r>
      <w:proofErr w:type="spellEnd"/>
      <w:r w:rsidRPr="00F80589">
        <w:rPr>
          <w:rFonts w:ascii="Gill Sans" w:hAnsi="Gill Sans"/>
        </w:rPr>
        <w:t xml:space="preserve"> recorded in </w:t>
      </w:r>
      <w:proofErr w:type="spellStart"/>
      <w:r w:rsidRPr="00F80589">
        <w:rPr>
          <w:rFonts w:ascii="Gill Sans" w:hAnsi="Gill Sans"/>
        </w:rPr>
        <w:t>Egeria's</w:t>
      </w:r>
      <w:proofErr w:type="spellEnd"/>
      <w:r w:rsidRPr="00F80589">
        <w:rPr>
          <w:rFonts w:ascii="Gill Sans" w:hAnsi="Gill Sans"/>
        </w:rPr>
        <w:t xml:space="preserve"> Travels.</w:t>
      </w:r>
      <w:r w:rsidRPr="00F80589">
        <w:rPr>
          <w:rStyle w:val="FootnoteReference"/>
          <w:rFonts w:ascii="Gill Sans" w:hAnsi="Gill Sans"/>
        </w:rPr>
        <w:footnoteReference w:id="5"/>
      </w:r>
      <w:r w:rsidRPr="00F80589">
        <w:rPr>
          <w:rFonts w:ascii="Gill Sans" w:hAnsi="Gill Sans"/>
        </w:rPr>
        <w:t xml:space="preserve"> </w:t>
      </w:r>
    </w:p>
    <w:p w:rsidR="004E3E41" w:rsidRPr="00F80589" w:rsidRDefault="004E3E41">
      <w:pPr>
        <w:rPr>
          <w:rFonts w:ascii="Gill Sans" w:hAnsi="Gill Sans"/>
        </w:rPr>
      </w:pPr>
    </w:p>
    <w:p w:rsidR="002D2D42" w:rsidRPr="00F80589" w:rsidRDefault="002D2D42">
      <w:pPr>
        <w:rPr>
          <w:rFonts w:ascii="Gill Sans" w:hAnsi="Gill Sans"/>
        </w:rPr>
      </w:pPr>
      <w:r w:rsidRPr="00F80589">
        <w:rPr>
          <w:rFonts w:ascii="Gill Sans" w:hAnsi="Gill Sans"/>
        </w:rPr>
        <w:t>Later, the final days of Jesus' earthly life began to be commemorated on other days of Holy Week.  Palm Sunday, already celebrated in fourth century Jerusalem,</w:t>
      </w:r>
      <w:r w:rsidRPr="00F80589">
        <w:rPr>
          <w:rStyle w:val="FootnoteReference"/>
          <w:rFonts w:ascii="Gill Sans" w:hAnsi="Gill Sans"/>
        </w:rPr>
        <w:footnoteReference w:id="6"/>
      </w:r>
      <w:r w:rsidRPr="00F80589">
        <w:rPr>
          <w:rFonts w:ascii="Gill Sans" w:hAnsi="Gill Sans"/>
        </w:rPr>
        <w:t xml:space="preserve"> became the start of the </w:t>
      </w:r>
      <w:r w:rsidRPr="00F80589">
        <w:rPr>
          <w:rFonts w:ascii="Gill Sans" w:hAnsi="Gill Sans"/>
          <w:i/>
          <w:iCs/>
        </w:rPr>
        <w:t>Great Week</w:t>
      </w:r>
      <w:r w:rsidRPr="00F80589">
        <w:rPr>
          <w:rFonts w:ascii="Gill Sans" w:hAnsi="Gill Sans"/>
        </w:rPr>
        <w:t xml:space="preserve"> we still keep today. </w:t>
      </w:r>
    </w:p>
    <w:p w:rsidR="004E3E41" w:rsidRPr="00F80589" w:rsidRDefault="004E3E41">
      <w:pPr>
        <w:rPr>
          <w:rFonts w:ascii="Gill Sans" w:hAnsi="Gill Sans"/>
        </w:rPr>
      </w:pPr>
    </w:p>
    <w:p w:rsidR="004155C4" w:rsidRDefault="004155C4">
      <w:pPr>
        <w:widowControl/>
        <w:suppressAutoHyphens w:val="0"/>
        <w:rPr>
          <w:rFonts w:ascii="Gill Sans" w:hAnsi="Gill Sans"/>
        </w:rPr>
      </w:pPr>
      <w:r>
        <w:rPr>
          <w:rFonts w:ascii="Gill Sans" w:hAnsi="Gill Sans"/>
        </w:rPr>
        <w:br w:type="page"/>
      </w:r>
    </w:p>
    <w:p w:rsidR="002D2D42" w:rsidRPr="00F80589" w:rsidRDefault="002D2D42">
      <w:pPr>
        <w:rPr>
          <w:rFonts w:ascii="Gill Sans" w:hAnsi="Gill Sans"/>
        </w:rPr>
      </w:pPr>
      <w:r w:rsidRPr="00F80589">
        <w:rPr>
          <w:rFonts w:ascii="Gill Sans" w:hAnsi="Gill Sans"/>
        </w:rPr>
        <w:lastRenderedPageBreak/>
        <w:t>As early as the end of the second century,</w:t>
      </w:r>
      <w:r w:rsidRPr="00F80589">
        <w:rPr>
          <w:rStyle w:val="FootnoteReference"/>
          <w:rFonts w:ascii="Gill Sans" w:hAnsi="Gill Sans"/>
        </w:rPr>
        <w:footnoteReference w:id="7"/>
      </w:r>
      <w:r w:rsidRPr="00F80589">
        <w:rPr>
          <w:rFonts w:ascii="Gill Sans" w:hAnsi="Gill Sans"/>
        </w:rPr>
        <w:t xml:space="preserve"> the Easter season was kept as a fifty day feast, beginning on Easter Day and ending with Pentecost.  Ascension as a feast emerged at the end of the fourth century, and shortly afterwards was celebrated across a wide area.</w:t>
      </w:r>
      <w:r w:rsidRPr="00F80589">
        <w:rPr>
          <w:rStyle w:val="FootnoteReference"/>
          <w:rFonts w:ascii="Gill Sans" w:hAnsi="Gill Sans"/>
        </w:rPr>
        <w:footnoteReference w:id="8"/>
      </w:r>
      <w:r w:rsidRPr="00F80589">
        <w:rPr>
          <w:rFonts w:ascii="Gill Sans" w:hAnsi="Gill Sans"/>
        </w:rPr>
        <w:t xml:space="preserve"> </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Remaining true to this tradition, the Church in Wales</w:t>
      </w:r>
      <w:r w:rsidR="00CD5C90" w:rsidRPr="00F80589">
        <w:rPr>
          <w:rFonts w:ascii="Gill Sans" w:hAnsi="Gill Sans"/>
        </w:rPr>
        <w:t>’</w:t>
      </w:r>
      <w:r w:rsidRPr="00F80589">
        <w:rPr>
          <w:rFonts w:ascii="Gill Sans" w:hAnsi="Gill Sans"/>
        </w:rPr>
        <w:t xml:space="preserve"> liturgical resources for Lent, Holy Week and Easter aim to ensure that the Christian community continues to maintain the overall unity of the Easter season.</w:t>
      </w:r>
    </w:p>
    <w:p w:rsidR="004E3E41" w:rsidRPr="00F80589" w:rsidRDefault="004E3E41">
      <w:pPr>
        <w:rPr>
          <w:rFonts w:ascii="Gill Sans" w:hAnsi="Gill Sans"/>
        </w:rPr>
      </w:pPr>
    </w:p>
    <w:p w:rsidR="002D2D42" w:rsidRPr="00F80589" w:rsidRDefault="002D2D42">
      <w:pPr>
        <w:rPr>
          <w:rFonts w:ascii="Gill Sans" w:hAnsi="Gill Sans"/>
        </w:rPr>
      </w:pPr>
      <w:r w:rsidRPr="00F80589">
        <w:rPr>
          <w:rFonts w:ascii="Gill Sans" w:hAnsi="Gill Sans"/>
        </w:rPr>
        <w:t xml:space="preserve">Specific guidance on use of the resources is set out in the notes at the beginning of each section.  However, it is also important that the needs of the local church should be taken into account when planning services.  For example, consideration of available space and resources may be a factor in the organisation of processions on Palm Sunday;  community involvement in the ceremonies of Ash Wednesday and Maundy Thursday can provide a focus for reconciliation and renewed commitment to service;  opportunities for ecumenical collaboration may be explored through sensitive use of Good Friday, Easter Vigil and Pentecost Vigil services;  and local traditions, such as </w:t>
      </w:r>
      <w:proofErr w:type="spellStart"/>
      <w:r w:rsidRPr="00F80589">
        <w:rPr>
          <w:rFonts w:ascii="Gill Sans" w:hAnsi="Gill Sans"/>
        </w:rPr>
        <w:t>Sul</w:t>
      </w:r>
      <w:proofErr w:type="spellEnd"/>
      <w:r w:rsidRPr="00F80589">
        <w:rPr>
          <w:rFonts w:ascii="Gill Sans" w:hAnsi="Gill Sans"/>
        </w:rPr>
        <w:t xml:space="preserve"> y </w:t>
      </w:r>
      <w:proofErr w:type="spellStart"/>
      <w:r w:rsidRPr="00F80589">
        <w:rPr>
          <w:rFonts w:ascii="Gill Sans" w:hAnsi="Gill Sans"/>
        </w:rPr>
        <w:t>Blodau</w:t>
      </w:r>
      <w:proofErr w:type="spellEnd"/>
      <w:r w:rsidRPr="00F80589">
        <w:rPr>
          <w:rFonts w:ascii="Gill Sans" w:hAnsi="Gill Sans"/>
        </w:rPr>
        <w:t>, may be incorporated into the liturgy.</w:t>
      </w:r>
    </w:p>
    <w:p w:rsidR="002D2D42" w:rsidRPr="00F80589" w:rsidRDefault="002D2D42">
      <w:pPr>
        <w:rPr>
          <w:rFonts w:ascii="Gill Sans" w:hAnsi="Gill Sans"/>
        </w:rPr>
      </w:pPr>
    </w:p>
    <w:p w:rsidR="002D2D42" w:rsidRPr="00F80589" w:rsidRDefault="002D2D42">
      <w:pPr>
        <w:rPr>
          <w:rFonts w:ascii="Gill Sans" w:hAnsi="Gill Sans"/>
        </w:rPr>
      </w:pPr>
      <w:r w:rsidRPr="00F80589">
        <w:rPr>
          <w:rFonts w:ascii="Gill Sans" w:hAnsi="Gill Sans"/>
        </w:rPr>
        <w:t xml:space="preserve">All these resources can, and should, be contextualised to provide a 'living tradition' of worship, which draws on the liturgical riches of the past and brings the season of Lent, Holy Week and Easter alive for all God's people in their own generation.  </w:t>
      </w:r>
    </w:p>
    <w:p w:rsidR="002D2D42" w:rsidRPr="00F80589" w:rsidRDefault="002D2D42" w:rsidP="004155C4">
      <w:pPr>
        <w:rPr>
          <w:rFonts w:ascii="Gill Sans" w:hAnsi="Gill Sans"/>
        </w:rPr>
      </w:pPr>
    </w:p>
    <w:sectPr w:rsidR="002D2D42" w:rsidRPr="00F80589" w:rsidSect="00036B2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71" w:rsidRDefault="00F75D71">
      <w:r>
        <w:separator/>
      </w:r>
    </w:p>
  </w:endnote>
  <w:endnote w:type="continuationSeparator" w:id="0">
    <w:p w:rsidR="00F75D71" w:rsidRDefault="00F75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B7FE2">
    <w:pPr>
      <w:pStyle w:val="Footer"/>
      <w:jc w:val="center"/>
    </w:pPr>
    <w:fldSimple w:instr=" PAGE ">
      <w:r w:rsidR="004155C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71" w:rsidRDefault="00F75D71">
      <w:r>
        <w:separator/>
      </w:r>
    </w:p>
  </w:footnote>
  <w:footnote w:type="continuationSeparator" w:id="0">
    <w:p w:rsidR="00F75D71" w:rsidRDefault="00F75D71">
      <w:r>
        <w:continuationSeparator/>
      </w:r>
    </w:p>
  </w:footnote>
  <w:footnote w:id="1">
    <w:p w:rsidR="00FA3F27" w:rsidRPr="00FA3F27" w:rsidRDefault="00FA3F27">
      <w:pPr>
        <w:pStyle w:val="FootnoteText"/>
        <w:rPr>
          <w:rFonts w:cs="Times New Roman"/>
        </w:rPr>
      </w:pPr>
      <w:r w:rsidRPr="00FA3F27">
        <w:rPr>
          <w:rStyle w:val="FootnoteCharacters"/>
          <w:rFonts w:cs="Times New Roman"/>
        </w:rPr>
        <w:footnoteRef/>
      </w:r>
      <w:r w:rsidRPr="00FA3F27">
        <w:rPr>
          <w:rFonts w:cs="Times New Roman"/>
        </w:rPr>
        <w:tab/>
        <w:t xml:space="preserve">Bradshaw, P.F &amp; Johnson, M.E., </w:t>
      </w:r>
      <w:r w:rsidRPr="00FA3F27">
        <w:rPr>
          <w:rFonts w:cs="Times New Roman"/>
          <w:i/>
          <w:iCs/>
        </w:rPr>
        <w:t>The Origins of Feasts, Fasts and Seasons in Early Christianity</w:t>
      </w:r>
      <w:r w:rsidRPr="00FA3F27">
        <w:rPr>
          <w:rFonts w:cs="Times New Roman"/>
        </w:rPr>
        <w:t xml:space="preserve"> (London:  SPCK, 2011), 90.</w:t>
      </w:r>
    </w:p>
  </w:footnote>
  <w:footnote w:id="2">
    <w:p w:rsidR="00FA3F27" w:rsidRPr="00FA3F27" w:rsidRDefault="00FA3F27">
      <w:pPr>
        <w:pStyle w:val="FootnoteText"/>
        <w:rPr>
          <w:rFonts w:cs="Times New Roman"/>
        </w:rPr>
      </w:pPr>
      <w:r w:rsidRPr="00FA3F27">
        <w:rPr>
          <w:rStyle w:val="FootnoteCharacters"/>
          <w:rFonts w:cs="Times New Roman"/>
        </w:rPr>
        <w:footnoteRef/>
      </w:r>
      <w:r w:rsidRPr="00FA3F27">
        <w:rPr>
          <w:rFonts w:cs="Times New Roman"/>
        </w:rPr>
        <w:tab/>
        <w:t xml:space="preserve">Tertullian, </w:t>
      </w:r>
      <w:r w:rsidRPr="00FA3F27">
        <w:rPr>
          <w:rFonts w:cs="Times New Roman"/>
          <w:i/>
          <w:iCs/>
        </w:rPr>
        <w:t xml:space="preserve">De </w:t>
      </w:r>
      <w:proofErr w:type="spellStart"/>
      <w:r w:rsidRPr="00FA3F27">
        <w:rPr>
          <w:rFonts w:cs="Times New Roman"/>
          <w:i/>
          <w:iCs/>
        </w:rPr>
        <w:t>Baptismo</w:t>
      </w:r>
      <w:proofErr w:type="spellEnd"/>
      <w:r w:rsidRPr="00FA3F27">
        <w:rPr>
          <w:rFonts w:cs="Times New Roman"/>
        </w:rPr>
        <w:t>, chapter 19.</w:t>
      </w:r>
    </w:p>
  </w:footnote>
  <w:footnote w:id="3">
    <w:p w:rsidR="00FA3F27" w:rsidRPr="00FA3F27" w:rsidRDefault="00FA3F27">
      <w:pPr>
        <w:pStyle w:val="FootnoteText"/>
        <w:rPr>
          <w:rFonts w:cs="Times New Roman"/>
          <w:i/>
          <w:iCs/>
        </w:rPr>
      </w:pPr>
      <w:r w:rsidRPr="00FA3F27">
        <w:rPr>
          <w:rStyle w:val="FootnoteCharacters"/>
          <w:rFonts w:cs="Times New Roman"/>
        </w:rPr>
        <w:footnoteRef/>
      </w:r>
      <w:r w:rsidRPr="00FA3F27">
        <w:rPr>
          <w:rFonts w:cs="Times New Roman"/>
        </w:rPr>
        <w:tab/>
        <w:t xml:space="preserve">Origen, </w:t>
      </w:r>
      <w:r w:rsidRPr="00FA3F27">
        <w:rPr>
          <w:rFonts w:cs="Times New Roman"/>
          <w:i/>
          <w:iCs/>
        </w:rPr>
        <w:t>Peri Pascha</w:t>
      </w:r>
      <w:r w:rsidRPr="00FA3F27">
        <w:rPr>
          <w:rFonts w:cs="Times New Roman"/>
        </w:rPr>
        <w:t xml:space="preserve">, 1, quoted in Bradshaw &amp; Johnson, </w:t>
      </w:r>
      <w:r w:rsidRPr="00FA3F27">
        <w:rPr>
          <w:rFonts w:cs="Times New Roman"/>
          <w:i/>
          <w:iCs/>
        </w:rPr>
        <w:t>Origins,60.</w:t>
      </w:r>
    </w:p>
  </w:footnote>
  <w:footnote w:id="4">
    <w:p w:rsidR="00FA3F27" w:rsidRPr="00FA3F27" w:rsidRDefault="00FA3F27">
      <w:pPr>
        <w:rPr>
          <w:rFonts w:cs="Times New Roman"/>
          <w:sz w:val="20"/>
          <w:szCs w:val="20"/>
        </w:rPr>
      </w:pPr>
      <w:r w:rsidRPr="00FA3F27">
        <w:rPr>
          <w:rStyle w:val="FootnoteCharacters"/>
          <w:rFonts w:cs="Times New Roman"/>
          <w:sz w:val="20"/>
          <w:szCs w:val="20"/>
        </w:rPr>
        <w:footnoteRef/>
      </w:r>
      <w:r w:rsidRPr="00FA3F27">
        <w:rPr>
          <w:rFonts w:cs="Times New Roman"/>
          <w:sz w:val="20"/>
          <w:szCs w:val="20"/>
        </w:rPr>
        <w:tab/>
        <w:t xml:space="preserve"> e.g., </w:t>
      </w:r>
      <w:proofErr w:type="spellStart"/>
      <w:r w:rsidRPr="00FA3F27">
        <w:rPr>
          <w:rFonts w:cs="Times New Roman"/>
          <w:sz w:val="20"/>
          <w:szCs w:val="20"/>
        </w:rPr>
        <w:t>Didymus</w:t>
      </w:r>
      <w:proofErr w:type="spellEnd"/>
      <w:r w:rsidRPr="00FA3F27">
        <w:rPr>
          <w:rFonts w:cs="Times New Roman"/>
          <w:sz w:val="20"/>
          <w:szCs w:val="20"/>
        </w:rPr>
        <w:t xml:space="preserve"> of Alexandria, Ambrose and Augustine (4</w:t>
      </w:r>
      <w:r w:rsidRPr="00FA3F27">
        <w:rPr>
          <w:rFonts w:cs="Times New Roman"/>
          <w:sz w:val="20"/>
          <w:szCs w:val="20"/>
          <w:vertAlign w:val="superscript"/>
        </w:rPr>
        <w:t>th</w:t>
      </w:r>
      <w:r w:rsidRPr="00FA3F27">
        <w:rPr>
          <w:rFonts w:cs="Times New Roman"/>
          <w:sz w:val="20"/>
          <w:szCs w:val="20"/>
        </w:rPr>
        <w:t xml:space="preserve"> cent) </w:t>
      </w:r>
    </w:p>
  </w:footnote>
  <w:footnote w:id="5">
    <w:p w:rsidR="00FA3F27" w:rsidRPr="00FA3F27" w:rsidRDefault="00FA3F27">
      <w:pPr>
        <w:tabs>
          <w:tab w:val="left" w:pos="706"/>
          <w:tab w:val="left" w:pos="1412"/>
          <w:tab w:val="left" w:pos="2118"/>
          <w:tab w:val="left" w:pos="2824"/>
          <w:tab w:val="left" w:pos="3530"/>
          <w:tab w:val="left" w:pos="6750"/>
        </w:tabs>
        <w:rPr>
          <w:rFonts w:cs="Times New Roman"/>
          <w:sz w:val="20"/>
          <w:szCs w:val="20"/>
        </w:rPr>
      </w:pPr>
      <w:r w:rsidRPr="00FA3F27">
        <w:rPr>
          <w:rStyle w:val="FootnoteCharacters"/>
          <w:rFonts w:cs="Times New Roman"/>
          <w:sz w:val="20"/>
          <w:szCs w:val="20"/>
        </w:rPr>
        <w:footnoteRef/>
      </w:r>
      <w:r w:rsidRPr="00FA3F27">
        <w:rPr>
          <w:rFonts w:cs="Times New Roman"/>
          <w:sz w:val="20"/>
          <w:szCs w:val="20"/>
        </w:rPr>
        <w:tab/>
        <w:t xml:space="preserve">  Bradshaw &amp; Johnson, </w:t>
      </w:r>
      <w:r w:rsidRPr="00FA3F27">
        <w:rPr>
          <w:rFonts w:cs="Times New Roman"/>
          <w:i/>
          <w:iCs/>
          <w:sz w:val="20"/>
          <w:szCs w:val="20"/>
        </w:rPr>
        <w:t>Origins,</w:t>
      </w:r>
      <w:r w:rsidRPr="00FA3F27">
        <w:rPr>
          <w:rFonts w:cs="Times New Roman"/>
          <w:sz w:val="20"/>
          <w:szCs w:val="20"/>
        </w:rPr>
        <w:t xml:space="preserve"> 60-64.</w:t>
      </w:r>
      <w:r w:rsidRPr="00FA3F27">
        <w:rPr>
          <w:rFonts w:cs="Times New Roman"/>
          <w:sz w:val="20"/>
          <w:szCs w:val="20"/>
        </w:rPr>
        <w:tab/>
      </w:r>
    </w:p>
  </w:footnote>
  <w:footnote w:id="6">
    <w:p w:rsidR="00FA3F27" w:rsidRPr="00FA3F27" w:rsidRDefault="00FA3F27">
      <w:pPr>
        <w:pStyle w:val="FootnoteText"/>
        <w:rPr>
          <w:rFonts w:cs="Times New Roman"/>
        </w:rPr>
      </w:pPr>
      <w:r w:rsidRPr="00FA3F27">
        <w:rPr>
          <w:rStyle w:val="FootnoteCharacters"/>
          <w:rFonts w:cs="Times New Roman"/>
        </w:rPr>
        <w:footnoteRef/>
      </w:r>
      <w:r w:rsidRPr="00FA3F27">
        <w:rPr>
          <w:rFonts w:cs="Times New Roman"/>
        </w:rPr>
        <w:tab/>
        <w:t xml:space="preserve">Wilkinson, J., </w:t>
      </w:r>
      <w:r w:rsidRPr="00FA3F27">
        <w:rPr>
          <w:rFonts w:cs="Times New Roman"/>
          <w:i/>
          <w:iCs/>
        </w:rPr>
        <w:t>Egeria's Travels</w:t>
      </w:r>
      <w:r w:rsidRPr="00FA3F27">
        <w:rPr>
          <w:rFonts w:cs="Times New Roman"/>
        </w:rPr>
        <w:t xml:space="preserve"> (Warminster, Aris &amp;Phillips, 1999), 151-2.</w:t>
      </w:r>
    </w:p>
  </w:footnote>
  <w:footnote w:id="7">
    <w:p w:rsidR="00FA3F27" w:rsidRPr="00FA3F27" w:rsidRDefault="00FA3F27">
      <w:pPr>
        <w:pStyle w:val="FootnoteText"/>
        <w:rPr>
          <w:rFonts w:cs="Times New Roman"/>
        </w:rPr>
      </w:pPr>
      <w:r w:rsidRPr="00FA3F27">
        <w:rPr>
          <w:rStyle w:val="FootnoteCharacters"/>
          <w:rFonts w:cs="Times New Roman"/>
        </w:rPr>
        <w:footnoteRef/>
      </w:r>
      <w:r w:rsidRPr="00FA3F27">
        <w:rPr>
          <w:rFonts w:cs="Times New Roman"/>
        </w:rPr>
        <w:tab/>
        <w:t xml:space="preserve">As evidenced by the </w:t>
      </w:r>
      <w:r w:rsidRPr="00FA3F27">
        <w:rPr>
          <w:rFonts w:cs="Times New Roman"/>
          <w:i/>
          <w:iCs/>
        </w:rPr>
        <w:t>Acts of Paul</w:t>
      </w:r>
      <w:r w:rsidRPr="00FA3F27">
        <w:rPr>
          <w:rFonts w:cs="Times New Roman"/>
        </w:rPr>
        <w:t>, and the writings of Irenaeus of Lyons and Tertullian.</w:t>
      </w:r>
    </w:p>
  </w:footnote>
  <w:footnote w:id="8">
    <w:p w:rsidR="00FA3F27" w:rsidRPr="00FA3F27" w:rsidRDefault="00FA3F27">
      <w:pPr>
        <w:pStyle w:val="FootnoteText"/>
        <w:rPr>
          <w:rFonts w:cs="Times New Roman"/>
        </w:rPr>
      </w:pPr>
      <w:r w:rsidRPr="00FA3F27">
        <w:rPr>
          <w:rStyle w:val="FootnoteCharacters"/>
          <w:rFonts w:cs="Times New Roman"/>
        </w:rPr>
        <w:footnoteRef/>
      </w:r>
      <w:r w:rsidRPr="00FA3F27">
        <w:rPr>
          <w:rFonts w:cs="Times New Roman"/>
        </w:rPr>
        <w:tab/>
        <w:t xml:space="preserve">Bradshaw &amp; Johnson, </w:t>
      </w:r>
      <w:r w:rsidRPr="00FA3F27">
        <w:rPr>
          <w:rFonts w:cs="Times New Roman"/>
          <w:i/>
          <w:iCs/>
        </w:rPr>
        <w:t>Origins,</w:t>
      </w:r>
      <w:r w:rsidRPr="00FA3F27">
        <w:rPr>
          <w:rFonts w:cs="Times New Roman"/>
        </w:rPr>
        <w:t xml:space="preserve">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27" w:rsidRDefault="00FA3F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
    <w:nsid w:val="00000003"/>
    <w:multiLevelType w:val="multilevel"/>
    <w:tmpl w:val="00000003"/>
    <w:name w:val="WW8Num3"/>
    <w:lvl w:ilvl="0">
      <w:start w:val="1"/>
      <w:numFmt w:val="upperRoman"/>
      <w:lvlText w:val="%1."/>
      <w:lvlJc w:val="left"/>
      <w:pPr>
        <w:tabs>
          <w:tab w:val="num" w:pos="1506"/>
        </w:tabs>
        <w:ind w:left="1506" w:hanging="360"/>
      </w:pPr>
    </w:lvl>
    <w:lvl w:ilvl="1">
      <w:start w:val="1"/>
      <w:numFmt w:val="decimal"/>
      <w:lvlText w:val="%2."/>
      <w:lvlJc w:val="left"/>
      <w:pPr>
        <w:tabs>
          <w:tab w:val="num" w:pos="1866"/>
        </w:tabs>
        <w:ind w:left="186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586"/>
        </w:tabs>
        <w:ind w:left="2586" w:hanging="360"/>
      </w:pPr>
    </w:lvl>
    <w:lvl w:ilvl="4">
      <w:start w:val="1"/>
      <w:numFmt w:val="decimal"/>
      <w:lvlText w:val="%5."/>
      <w:lvlJc w:val="left"/>
      <w:pPr>
        <w:tabs>
          <w:tab w:val="num" w:pos="2946"/>
        </w:tabs>
        <w:ind w:left="2946" w:hanging="360"/>
      </w:pPr>
    </w:lvl>
    <w:lvl w:ilvl="5">
      <w:start w:val="1"/>
      <w:numFmt w:val="decimal"/>
      <w:lvlText w:val="%6."/>
      <w:lvlJc w:val="left"/>
      <w:pPr>
        <w:tabs>
          <w:tab w:val="num" w:pos="3306"/>
        </w:tabs>
        <w:ind w:left="3306" w:hanging="360"/>
      </w:pPr>
    </w:lvl>
    <w:lvl w:ilvl="6">
      <w:start w:val="1"/>
      <w:numFmt w:val="decimal"/>
      <w:lvlText w:val="%7."/>
      <w:lvlJc w:val="left"/>
      <w:pPr>
        <w:tabs>
          <w:tab w:val="num" w:pos="3666"/>
        </w:tabs>
        <w:ind w:left="3666" w:hanging="360"/>
      </w:pPr>
    </w:lvl>
    <w:lvl w:ilvl="7">
      <w:start w:val="1"/>
      <w:numFmt w:val="decimal"/>
      <w:lvlText w:val="%8."/>
      <w:lvlJc w:val="left"/>
      <w:pPr>
        <w:tabs>
          <w:tab w:val="num" w:pos="4026"/>
        </w:tabs>
        <w:ind w:left="4026" w:hanging="360"/>
      </w:pPr>
    </w:lvl>
    <w:lvl w:ilvl="8">
      <w:start w:val="1"/>
      <w:numFmt w:val="decimal"/>
      <w:lvlText w:val="%9."/>
      <w:lvlJc w:val="left"/>
      <w:pPr>
        <w:tabs>
          <w:tab w:val="num" w:pos="4386"/>
        </w:tabs>
        <w:ind w:left="4386" w:hanging="360"/>
      </w:pPr>
    </w:lvl>
  </w:abstractNum>
  <w:abstractNum w:abstractNumId="3">
    <w:nsid w:val="00000004"/>
    <w:multiLevelType w:val="multilevel"/>
    <w:tmpl w:val="00000004"/>
    <w:name w:val="WW8Num4"/>
    <w:lvl w:ilvl="0">
      <w:start w:val="1"/>
      <w:numFmt w:val="upperRoman"/>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nsid w:val="245F0033"/>
    <w:multiLevelType w:val="hybridMultilevel"/>
    <w:tmpl w:val="1DAC922A"/>
    <w:lvl w:ilvl="0" w:tplc="FFFFFFFF">
      <w:start w:val="1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33D5BC5"/>
    <w:multiLevelType w:val="hybridMultilevel"/>
    <w:tmpl w:val="CF5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B1DF4"/>
    <w:multiLevelType w:val="hybridMultilevel"/>
    <w:tmpl w:val="00AC2912"/>
    <w:lvl w:ilvl="0" w:tplc="F016426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8639BC"/>
    <w:multiLevelType w:val="hybridMultilevel"/>
    <w:tmpl w:val="02E8D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0DB2"/>
    <w:rsid w:val="000123A2"/>
    <w:rsid w:val="00021145"/>
    <w:rsid w:val="00032A99"/>
    <w:rsid w:val="00035AFE"/>
    <w:rsid w:val="00036B27"/>
    <w:rsid w:val="00036BD5"/>
    <w:rsid w:val="0005090F"/>
    <w:rsid w:val="0007714C"/>
    <w:rsid w:val="000810A2"/>
    <w:rsid w:val="00086872"/>
    <w:rsid w:val="000950EE"/>
    <w:rsid w:val="000D2AC2"/>
    <w:rsid w:val="000E1537"/>
    <w:rsid w:val="000E5B34"/>
    <w:rsid w:val="00113D19"/>
    <w:rsid w:val="00117C4C"/>
    <w:rsid w:val="001323D9"/>
    <w:rsid w:val="00135909"/>
    <w:rsid w:val="00142962"/>
    <w:rsid w:val="00153E09"/>
    <w:rsid w:val="00157BCC"/>
    <w:rsid w:val="00160619"/>
    <w:rsid w:val="00164D3A"/>
    <w:rsid w:val="00164E49"/>
    <w:rsid w:val="00166745"/>
    <w:rsid w:val="001726C3"/>
    <w:rsid w:val="00180276"/>
    <w:rsid w:val="00190DB2"/>
    <w:rsid w:val="001B15F6"/>
    <w:rsid w:val="001B2200"/>
    <w:rsid w:val="001B4B1A"/>
    <w:rsid w:val="001C5594"/>
    <w:rsid w:val="001C691B"/>
    <w:rsid w:val="001D144C"/>
    <w:rsid w:val="001D64F5"/>
    <w:rsid w:val="001E249C"/>
    <w:rsid w:val="00200ADA"/>
    <w:rsid w:val="002111C0"/>
    <w:rsid w:val="00223D16"/>
    <w:rsid w:val="00240067"/>
    <w:rsid w:val="00262337"/>
    <w:rsid w:val="00266B34"/>
    <w:rsid w:val="002710A4"/>
    <w:rsid w:val="00287C2F"/>
    <w:rsid w:val="002A5D76"/>
    <w:rsid w:val="002B05F4"/>
    <w:rsid w:val="002C1736"/>
    <w:rsid w:val="002D19A3"/>
    <w:rsid w:val="002D2D42"/>
    <w:rsid w:val="00316422"/>
    <w:rsid w:val="003206FC"/>
    <w:rsid w:val="003303A2"/>
    <w:rsid w:val="00332907"/>
    <w:rsid w:val="00333CB5"/>
    <w:rsid w:val="00337655"/>
    <w:rsid w:val="00355B3F"/>
    <w:rsid w:val="003613FC"/>
    <w:rsid w:val="00380BE3"/>
    <w:rsid w:val="00386CD5"/>
    <w:rsid w:val="00394BB6"/>
    <w:rsid w:val="003A1676"/>
    <w:rsid w:val="003B0678"/>
    <w:rsid w:val="003D459A"/>
    <w:rsid w:val="003E2AA9"/>
    <w:rsid w:val="003E4B26"/>
    <w:rsid w:val="0040494C"/>
    <w:rsid w:val="00404D7E"/>
    <w:rsid w:val="004050BF"/>
    <w:rsid w:val="004072B2"/>
    <w:rsid w:val="004155C4"/>
    <w:rsid w:val="00436119"/>
    <w:rsid w:val="00456295"/>
    <w:rsid w:val="0048057A"/>
    <w:rsid w:val="004910FB"/>
    <w:rsid w:val="00497DDE"/>
    <w:rsid w:val="004A3F80"/>
    <w:rsid w:val="004B704F"/>
    <w:rsid w:val="004D3A7B"/>
    <w:rsid w:val="004E3E41"/>
    <w:rsid w:val="004E6E3C"/>
    <w:rsid w:val="0052471B"/>
    <w:rsid w:val="00532699"/>
    <w:rsid w:val="00534574"/>
    <w:rsid w:val="005351A9"/>
    <w:rsid w:val="0053697C"/>
    <w:rsid w:val="00542B40"/>
    <w:rsid w:val="00591F66"/>
    <w:rsid w:val="005A3FD3"/>
    <w:rsid w:val="005B4489"/>
    <w:rsid w:val="005B6696"/>
    <w:rsid w:val="005C3092"/>
    <w:rsid w:val="005C37C9"/>
    <w:rsid w:val="005D6EDD"/>
    <w:rsid w:val="005F18BB"/>
    <w:rsid w:val="00604B72"/>
    <w:rsid w:val="00611B6C"/>
    <w:rsid w:val="0062078B"/>
    <w:rsid w:val="00621607"/>
    <w:rsid w:val="00633D50"/>
    <w:rsid w:val="00637C49"/>
    <w:rsid w:val="00656CD6"/>
    <w:rsid w:val="00667030"/>
    <w:rsid w:val="00670451"/>
    <w:rsid w:val="00675241"/>
    <w:rsid w:val="006A37B5"/>
    <w:rsid w:val="006B0517"/>
    <w:rsid w:val="006B5370"/>
    <w:rsid w:val="006D4369"/>
    <w:rsid w:val="0070657A"/>
    <w:rsid w:val="00713578"/>
    <w:rsid w:val="0072573A"/>
    <w:rsid w:val="00730E5B"/>
    <w:rsid w:val="00734E80"/>
    <w:rsid w:val="00737334"/>
    <w:rsid w:val="007408F7"/>
    <w:rsid w:val="007445D2"/>
    <w:rsid w:val="0075723D"/>
    <w:rsid w:val="00782C43"/>
    <w:rsid w:val="007B6E01"/>
    <w:rsid w:val="007B7CF3"/>
    <w:rsid w:val="007C586C"/>
    <w:rsid w:val="007D0EFF"/>
    <w:rsid w:val="007E0DFF"/>
    <w:rsid w:val="007F3D37"/>
    <w:rsid w:val="007F5F79"/>
    <w:rsid w:val="00805B11"/>
    <w:rsid w:val="008450E9"/>
    <w:rsid w:val="008A15EE"/>
    <w:rsid w:val="008D0B37"/>
    <w:rsid w:val="008D556C"/>
    <w:rsid w:val="008E0802"/>
    <w:rsid w:val="008E3696"/>
    <w:rsid w:val="008F4544"/>
    <w:rsid w:val="00906D05"/>
    <w:rsid w:val="00920058"/>
    <w:rsid w:val="0092343F"/>
    <w:rsid w:val="00932570"/>
    <w:rsid w:val="00933E45"/>
    <w:rsid w:val="00943BB2"/>
    <w:rsid w:val="009450DD"/>
    <w:rsid w:val="00950408"/>
    <w:rsid w:val="00951D74"/>
    <w:rsid w:val="00983C97"/>
    <w:rsid w:val="00993B5C"/>
    <w:rsid w:val="009A4548"/>
    <w:rsid w:val="009A73CF"/>
    <w:rsid w:val="009D054E"/>
    <w:rsid w:val="009D109B"/>
    <w:rsid w:val="009F16FA"/>
    <w:rsid w:val="009F5AFC"/>
    <w:rsid w:val="009F60BB"/>
    <w:rsid w:val="009F63D8"/>
    <w:rsid w:val="009F70E4"/>
    <w:rsid w:val="00A10361"/>
    <w:rsid w:val="00A119E2"/>
    <w:rsid w:val="00A41107"/>
    <w:rsid w:val="00A65B58"/>
    <w:rsid w:val="00A719A0"/>
    <w:rsid w:val="00A761F3"/>
    <w:rsid w:val="00AE5D1C"/>
    <w:rsid w:val="00B068C5"/>
    <w:rsid w:val="00B217CA"/>
    <w:rsid w:val="00B27603"/>
    <w:rsid w:val="00B40CCF"/>
    <w:rsid w:val="00B55701"/>
    <w:rsid w:val="00B62240"/>
    <w:rsid w:val="00B6267F"/>
    <w:rsid w:val="00B9679D"/>
    <w:rsid w:val="00B97DAA"/>
    <w:rsid w:val="00BA1A14"/>
    <w:rsid w:val="00BB6CDF"/>
    <w:rsid w:val="00BC7EE2"/>
    <w:rsid w:val="00BD7528"/>
    <w:rsid w:val="00BE17C0"/>
    <w:rsid w:val="00C04185"/>
    <w:rsid w:val="00C17096"/>
    <w:rsid w:val="00C2491D"/>
    <w:rsid w:val="00C267C4"/>
    <w:rsid w:val="00C26933"/>
    <w:rsid w:val="00C409E1"/>
    <w:rsid w:val="00C50AD3"/>
    <w:rsid w:val="00C641AF"/>
    <w:rsid w:val="00C75F7E"/>
    <w:rsid w:val="00C8151A"/>
    <w:rsid w:val="00C84AAF"/>
    <w:rsid w:val="00C92F55"/>
    <w:rsid w:val="00CA2C58"/>
    <w:rsid w:val="00CD5C90"/>
    <w:rsid w:val="00CF1461"/>
    <w:rsid w:val="00CF36AF"/>
    <w:rsid w:val="00CF4E68"/>
    <w:rsid w:val="00CF53A5"/>
    <w:rsid w:val="00D02E92"/>
    <w:rsid w:val="00D16D5D"/>
    <w:rsid w:val="00D41D8C"/>
    <w:rsid w:val="00D44FD6"/>
    <w:rsid w:val="00D75D27"/>
    <w:rsid w:val="00D770BE"/>
    <w:rsid w:val="00DB6EA2"/>
    <w:rsid w:val="00DB7F4F"/>
    <w:rsid w:val="00DD1968"/>
    <w:rsid w:val="00DE27CB"/>
    <w:rsid w:val="00DE2E5B"/>
    <w:rsid w:val="00DF26AE"/>
    <w:rsid w:val="00E37797"/>
    <w:rsid w:val="00E74E81"/>
    <w:rsid w:val="00E91C6E"/>
    <w:rsid w:val="00EA59E4"/>
    <w:rsid w:val="00ED4D3B"/>
    <w:rsid w:val="00EE04AC"/>
    <w:rsid w:val="00EE4B9E"/>
    <w:rsid w:val="00F12972"/>
    <w:rsid w:val="00F22E75"/>
    <w:rsid w:val="00F31457"/>
    <w:rsid w:val="00F3471F"/>
    <w:rsid w:val="00F513A9"/>
    <w:rsid w:val="00F5343C"/>
    <w:rsid w:val="00F62D05"/>
    <w:rsid w:val="00F75D71"/>
    <w:rsid w:val="00F801C9"/>
    <w:rsid w:val="00F80589"/>
    <w:rsid w:val="00F865F3"/>
    <w:rsid w:val="00F86E89"/>
    <w:rsid w:val="00F912FE"/>
    <w:rsid w:val="00FA0DCB"/>
    <w:rsid w:val="00FA3F27"/>
    <w:rsid w:val="00FB10DA"/>
    <w:rsid w:val="00FB3E9B"/>
    <w:rsid w:val="00FB7FE2"/>
    <w:rsid w:val="00FC6C7C"/>
    <w:rsid w:val="00FE4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2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036B27"/>
    <w:pPr>
      <w:keepNext/>
      <w:numPr>
        <w:numId w:val="1"/>
      </w:numPr>
      <w:outlineLvl w:val="0"/>
    </w:pPr>
    <w:rPr>
      <w:b/>
      <w:bCs/>
    </w:rPr>
  </w:style>
  <w:style w:type="paragraph" w:styleId="Heading2">
    <w:name w:val="heading 2"/>
    <w:basedOn w:val="Normal"/>
    <w:next w:val="Normal"/>
    <w:qFormat/>
    <w:rsid w:val="00036B27"/>
    <w:pPr>
      <w:keepNext/>
      <w:numPr>
        <w:ilvl w:val="1"/>
        <w:numId w:val="1"/>
      </w:numPr>
      <w:outlineLvl w:val="1"/>
    </w:pPr>
    <w:rPr>
      <w:rFonts w:ascii="Gill Sans MT" w:hAnsi="Gill Sans MT"/>
      <w:b/>
      <w:bCs/>
      <w:i/>
      <w:iCs/>
    </w:rPr>
  </w:style>
  <w:style w:type="paragraph" w:styleId="Heading3">
    <w:name w:val="heading 3"/>
    <w:basedOn w:val="Normal"/>
    <w:next w:val="Normal"/>
    <w:qFormat/>
    <w:rsid w:val="00036B27"/>
    <w:pPr>
      <w:keepNext/>
      <w:numPr>
        <w:ilvl w:val="2"/>
        <w:numId w:val="1"/>
      </w:numPr>
      <w:outlineLvl w:val="2"/>
    </w:pPr>
    <w:rPr>
      <w:rFonts w:ascii="Gill Sans MT" w:hAnsi="Gill Sans MT"/>
      <w:i/>
      <w:iCs/>
    </w:rPr>
  </w:style>
  <w:style w:type="paragraph" w:styleId="Heading4">
    <w:name w:val="heading 4"/>
    <w:basedOn w:val="Normal"/>
    <w:next w:val="Normal"/>
    <w:qFormat/>
    <w:rsid w:val="00036B27"/>
    <w:pPr>
      <w:keepNext/>
      <w:numPr>
        <w:ilvl w:val="3"/>
        <w:numId w:val="1"/>
      </w:numPr>
      <w:outlineLvl w:val="3"/>
    </w:pPr>
    <w:rPr>
      <w:rFonts w:ascii="Gill Sans MT" w:hAnsi="Gill Sans MT"/>
      <w:i/>
      <w:iCs/>
    </w:rPr>
  </w:style>
  <w:style w:type="paragraph" w:styleId="Heading7">
    <w:name w:val="heading 7"/>
    <w:basedOn w:val="Normal"/>
    <w:next w:val="Normal"/>
    <w:qFormat/>
    <w:rsid w:val="00036B27"/>
    <w:pPr>
      <w:keepNext/>
      <w:numPr>
        <w:ilvl w:val="6"/>
        <w:numId w:val="1"/>
      </w:numPr>
      <w:outlineLvl w:val="6"/>
    </w:pPr>
    <w:rPr>
      <w:rFonts w:ascii="Gill Sans MT" w:hAnsi="Gill Sans MT"/>
      <w:i/>
      <w:iCs/>
      <w:sz w:val="36"/>
      <w:szCs w:val="28"/>
    </w:rPr>
  </w:style>
  <w:style w:type="paragraph" w:styleId="Heading8">
    <w:name w:val="heading 8"/>
    <w:basedOn w:val="Normal"/>
    <w:next w:val="Normal"/>
    <w:link w:val="Heading8Char"/>
    <w:uiPriority w:val="9"/>
    <w:unhideWhenUsed/>
    <w:qFormat/>
    <w:rsid w:val="0092343F"/>
    <w:pPr>
      <w:spacing w:before="240" w:after="60"/>
      <w:outlineLvl w:val="7"/>
    </w:pPr>
    <w:rPr>
      <w:rFonts w:ascii="Calibri" w:eastAsia="Times New Roman" w:hAnsi="Calibri"/>
      <w:i/>
      <w:iCs/>
      <w:szCs w:val="21"/>
    </w:rPr>
  </w:style>
  <w:style w:type="paragraph" w:styleId="Heading9">
    <w:name w:val="heading 9"/>
    <w:basedOn w:val="Normal"/>
    <w:next w:val="Normal"/>
    <w:qFormat/>
    <w:rsid w:val="00036B27"/>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6B27"/>
  </w:style>
  <w:style w:type="character" w:customStyle="1" w:styleId="WW-Absatz-Standardschriftart">
    <w:name w:val="WW-Absatz-Standardschriftart"/>
    <w:rsid w:val="00036B27"/>
  </w:style>
  <w:style w:type="character" w:customStyle="1" w:styleId="WW-Absatz-Standardschriftart1">
    <w:name w:val="WW-Absatz-Standardschriftart1"/>
    <w:rsid w:val="00036B27"/>
  </w:style>
  <w:style w:type="character" w:customStyle="1" w:styleId="WW-Absatz-Standardschriftart11">
    <w:name w:val="WW-Absatz-Standardschriftart11"/>
    <w:rsid w:val="00036B27"/>
  </w:style>
  <w:style w:type="character" w:customStyle="1" w:styleId="WW-Absatz-Standardschriftart111">
    <w:name w:val="WW-Absatz-Standardschriftart111"/>
    <w:rsid w:val="00036B27"/>
  </w:style>
  <w:style w:type="character" w:customStyle="1" w:styleId="WW-Absatz-Standardschriftart1111">
    <w:name w:val="WW-Absatz-Standardschriftart1111"/>
    <w:rsid w:val="00036B27"/>
  </w:style>
  <w:style w:type="character" w:customStyle="1" w:styleId="WW-Absatz-Standardschriftart11111">
    <w:name w:val="WW-Absatz-Standardschriftart11111"/>
    <w:rsid w:val="00036B27"/>
  </w:style>
  <w:style w:type="character" w:customStyle="1" w:styleId="WW-Absatz-Standardschriftart111111">
    <w:name w:val="WW-Absatz-Standardschriftart111111"/>
    <w:rsid w:val="00036B27"/>
  </w:style>
  <w:style w:type="character" w:customStyle="1" w:styleId="WW-Absatz-Standardschriftart1111111">
    <w:name w:val="WW-Absatz-Standardschriftart1111111"/>
    <w:rsid w:val="00036B27"/>
  </w:style>
  <w:style w:type="character" w:customStyle="1" w:styleId="WW-Absatz-Standardschriftart11111111">
    <w:name w:val="WW-Absatz-Standardschriftart11111111"/>
    <w:rsid w:val="00036B27"/>
  </w:style>
  <w:style w:type="character" w:customStyle="1" w:styleId="WW-Absatz-Standardschriftart111111111">
    <w:name w:val="WW-Absatz-Standardschriftart111111111"/>
    <w:rsid w:val="00036B27"/>
  </w:style>
  <w:style w:type="character" w:customStyle="1" w:styleId="WW-Absatz-Standardschriftart1111111111">
    <w:name w:val="WW-Absatz-Standardschriftart1111111111"/>
    <w:rsid w:val="00036B27"/>
  </w:style>
  <w:style w:type="character" w:customStyle="1" w:styleId="WW-Absatz-Standardschriftart11111111111">
    <w:name w:val="WW-Absatz-Standardschriftart11111111111"/>
    <w:rsid w:val="00036B27"/>
  </w:style>
  <w:style w:type="character" w:customStyle="1" w:styleId="WW-Absatz-Standardschriftart111111111111">
    <w:name w:val="WW-Absatz-Standardschriftart111111111111"/>
    <w:rsid w:val="00036B27"/>
  </w:style>
  <w:style w:type="character" w:customStyle="1" w:styleId="WW-Absatz-Standardschriftart1111111111111">
    <w:name w:val="WW-Absatz-Standardschriftart1111111111111"/>
    <w:rsid w:val="00036B27"/>
  </w:style>
  <w:style w:type="character" w:customStyle="1" w:styleId="WW-Absatz-Standardschriftart11111111111111">
    <w:name w:val="WW-Absatz-Standardschriftart11111111111111"/>
    <w:rsid w:val="00036B27"/>
  </w:style>
  <w:style w:type="character" w:customStyle="1" w:styleId="WW-Absatz-Standardschriftart111111111111111">
    <w:name w:val="WW-Absatz-Standardschriftart111111111111111"/>
    <w:rsid w:val="00036B27"/>
  </w:style>
  <w:style w:type="character" w:customStyle="1" w:styleId="WW-Absatz-Standardschriftart1111111111111111">
    <w:name w:val="WW-Absatz-Standardschriftart1111111111111111"/>
    <w:rsid w:val="00036B27"/>
  </w:style>
  <w:style w:type="character" w:customStyle="1" w:styleId="WW-Absatz-Standardschriftart11111111111111111">
    <w:name w:val="WW-Absatz-Standardschriftart11111111111111111"/>
    <w:rsid w:val="00036B27"/>
  </w:style>
  <w:style w:type="character" w:customStyle="1" w:styleId="NumberingSymbols">
    <w:name w:val="Numbering Symbols"/>
    <w:rsid w:val="00036B27"/>
  </w:style>
  <w:style w:type="character" w:styleId="Strong">
    <w:name w:val="Strong"/>
    <w:qFormat/>
    <w:rsid w:val="00036B27"/>
    <w:rPr>
      <w:b/>
      <w:bCs/>
    </w:rPr>
  </w:style>
  <w:style w:type="character" w:styleId="Emphasis">
    <w:name w:val="Emphasis"/>
    <w:qFormat/>
    <w:rsid w:val="00036B27"/>
    <w:rPr>
      <w:i/>
      <w:iCs/>
    </w:rPr>
  </w:style>
  <w:style w:type="character" w:styleId="Hyperlink">
    <w:name w:val="Hyperlink"/>
    <w:rsid w:val="00036B27"/>
    <w:rPr>
      <w:color w:val="000080"/>
      <w:u w:val="single"/>
    </w:rPr>
  </w:style>
  <w:style w:type="character" w:styleId="FootnoteReference">
    <w:name w:val="footnote reference"/>
    <w:rsid w:val="00036B27"/>
    <w:rPr>
      <w:vertAlign w:val="superscript"/>
    </w:rPr>
  </w:style>
  <w:style w:type="character" w:customStyle="1" w:styleId="FootnoteCharacters">
    <w:name w:val="Footnote Characters"/>
    <w:rsid w:val="00036B27"/>
  </w:style>
  <w:style w:type="character" w:styleId="EndnoteReference">
    <w:name w:val="endnote reference"/>
    <w:rsid w:val="00036B27"/>
    <w:rPr>
      <w:vertAlign w:val="superscript"/>
    </w:rPr>
  </w:style>
  <w:style w:type="character" w:customStyle="1" w:styleId="EndnoteCharacters">
    <w:name w:val="Endnote Characters"/>
    <w:rsid w:val="00036B27"/>
  </w:style>
  <w:style w:type="paragraph" w:customStyle="1" w:styleId="Heading">
    <w:name w:val="Heading"/>
    <w:basedOn w:val="Normal"/>
    <w:next w:val="BodyText"/>
    <w:rsid w:val="00036B27"/>
    <w:pPr>
      <w:keepNext/>
      <w:spacing w:before="240" w:after="120"/>
    </w:pPr>
    <w:rPr>
      <w:rFonts w:ascii="Arial" w:eastAsia="Microsoft YaHei" w:hAnsi="Arial"/>
      <w:sz w:val="28"/>
      <w:szCs w:val="28"/>
    </w:rPr>
  </w:style>
  <w:style w:type="paragraph" w:styleId="BodyText">
    <w:name w:val="Body Text"/>
    <w:basedOn w:val="Normal"/>
    <w:rsid w:val="00036B27"/>
    <w:pPr>
      <w:spacing w:after="120"/>
    </w:pPr>
  </w:style>
  <w:style w:type="paragraph" w:styleId="List">
    <w:name w:val="List"/>
    <w:basedOn w:val="BodyText"/>
    <w:rsid w:val="00036B27"/>
  </w:style>
  <w:style w:type="paragraph" w:styleId="Caption">
    <w:name w:val="caption"/>
    <w:basedOn w:val="Normal"/>
    <w:qFormat/>
    <w:rsid w:val="00036B27"/>
    <w:pPr>
      <w:suppressLineNumbers/>
      <w:spacing w:before="120" w:after="120"/>
    </w:pPr>
    <w:rPr>
      <w:i/>
      <w:iCs/>
    </w:rPr>
  </w:style>
  <w:style w:type="paragraph" w:customStyle="1" w:styleId="Index">
    <w:name w:val="Index"/>
    <w:basedOn w:val="Normal"/>
    <w:rsid w:val="00036B27"/>
    <w:pPr>
      <w:suppressLineNumbers/>
    </w:pPr>
  </w:style>
  <w:style w:type="paragraph" w:styleId="BodyTextIndent3">
    <w:name w:val="Body Text Indent 3"/>
    <w:basedOn w:val="Normal"/>
    <w:rsid w:val="00036B27"/>
    <w:pPr>
      <w:overflowPunct w:val="0"/>
      <w:ind w:left="720"/>
      <w:jc w:val="both"/>
    </w:pPr>
    <w:rPr>
      <w:rFonts w:ascii="Arial" w:hAnsi="Arial" w:cs="Arial"/>
      <w:b/>
      <w:bCs/>
      <w:color w:val="0000FF"/>
      <w:lang w:val="en-US"/>
    </w:rPr>
  </w:style>
  <w:style w:type="paragraph" w:styleId="BodyTextIndent2">
    <w:name w:val="Body Text Indent 2"/>
    <w:basedOn w:val="Normal"/>
    <w:rsid w:val="00036B27"/>
    <w:pPr>
      <w:overflowPunct w:val="0"/>
      <w:ind w:left="360"/>
    </w:pPr>
    <w:rPr>
      <w:rFonts w:ascii="Arial Narrow" w:hAnsi="Arial Narrow"/>
      <w:color w:val="000000"/>
      <w:sz w:val="32"/>
      <w:szCs w:val="32"/>
      <w:lang w:val="en-US"/>
    </w:rPr>
  </w:style>
  <w:style w:type="paragraph" w:styleId="Footer">
    <w:name w:val="footer"/>
    <w:basedOn w:val="Normal"/>
    <w:rsid w:val="00036B27"/>
    <w:pPr>
      <w:suppressLineNumbers/>
      <w:tabs>
        <w:tab w:val="center" w:pos="4819"/>
        <w:tab w:val="right" w:pos="9638"/>
      </w:tabs>
    </w:pPr>
  </w:style>
  <w:style w:type="paragraph" w:styleId="Header">
    <w:name w:val="header"/>
    <w:basedOn w:val="Normal"/>
    <w:rsid w:val="00036B27"/>
    <w:pPr>
      <w:suppressLineNumbers/>
      <w:tabs>
        <w:tab w:val="center" w:pos="4819"/>
        <w:tab w:val="right" w:pos="9638"/>
      </w:tabs>
    </w:pPr>
  </w:style>
  <w:style w:type="paragraph" w:customStyle="1" w:styleId="Body">
    <w:name w:val="Body"/>
    <w:basedOn w:val="Normal"/>
    <w:rsid w:val="00036B27"/>
    <w:rPr>
      <w:rFonts w:ascii="Arial" w:hAnsi="Arial"/>
      <w:sz w:val="20"/>
      <w:szCs w:val="20"/>
    </w:rPr>
  </w:style>
  <w:style w:type="paragraph" w:styleId="FootnoteText">
    <w:name w:val="footnote text"/>
    <w:basedOn w:val="Normal"/>
    <w:rsid w:val="00036B27"/>
    <w:pPr>
      <w:suppressLineNumbers/>
      <w:ind w:left="283" w:hanging="283"/>
    </w:pPr>
    <w:rPr>
      <w:sz w:val="20"/>
      <w:szCs w:val="20"/>
    </w:rPr>
  </w:style>
  <w:style w:type="paragraph" w:styleId="NoSpacing">
    <w:name w:val="No Spacing"/>
    <w:uiPriority w:val="1"/>
    <w:qFormat/>
    <w:rsid w:val="00CD5C90"/>
    <w:rPr>
      <w:rFonts w:ascii="Calibri" w:hAnsi="Calibri"/>
      <w:sz w:val="22"/>
      <w:szCs w:val="22"/>
    </w:rPr>
  </w:style>
  <w:style w:type="character" w:customStyle="1" w:styleId="Heading8Char">
    <w:name w:val="Heading 8 Char"/>
    <w:link w:val="Heading8"/>
    <w:uiPriority w:val="9"/>
    <w:rsid w:val="0092343F"/>
    <w:rPr>
      <w:rFonts w:ascii="Calibri" w:eastAsia="Times New Roman" w:hAnsi="Calibri" w:cs="Mangal"/>
      <w:i/>
      <w:iCs/>
      <w:kern w:val="1"/>
      <w:sz w:val="24"/>
      <w:szCs w:val="21"/>
      <w:lang w:eastAsia="hi-IN" w:bidi="hi-IN"/>
    </w:rPr>
  </w:style>
  <w:style w:type="character" w:customStyle="1" w:styleId="text">
    <w:name w:val="text"/>
    <w:rsid w:val="003E2AA9"/>
  </w:style>
  <w:style w:type="paragraph" w:styleId="BodyText2">
    <w:name w:val="Body Text 2"/>
    <w:basedOn w:val="Normal"/>
    <w:link w:val="BodyText2Char"/>
    <w:uiPriority w:val="99"/>
    <w:unhideWhenUsed/>
    <w:rsid w:val="0040494C"/>
    <w:pPr>
      <w:spacing w:after="120" w:line="480" w:lineRule="auto"/>
    </w:pPr>
    <w:rPr>
      <w:szCs w:val="21"/>
    </w:rPr>
  </w:style>
  <w:style w:type="character" w:customStyle="1" w:styleId="BodyText2Char">
    <w:name w:val="Body Text 2 Char"/>
    <w:link w:val="BodyText2"/>
    <w:uiPriority w:val="99"/>
    <w:rsid w:val="0040494C"/>
    <w:rPr>
      <w:rFonts w:eastAsia="SimSun" w:cs="Mangal"/>
      <w:kern w:val="1"/>
      <w:sz w:val="24"/>
      <w:szCs w:val="21"/>
      <w:lang w:eastAsia="hi-IN" w:bidi="hi-IN"/>
    </w:rPr>
  </w:style>
  <w:style w:type="paragraph" w:styleId="BodyText3">
    <w:name w:val="Body Text 3"/>
    <w:basedOn w:val="Normal"/>
    <w:link w:val="BodyText3Char"/>
    <w:uiPriority w:val="99"/>
    <w:unhideWhenUsed/>
    <w:rsid w:val="0040494C"/>
    <w:pPr>
      <w:spacing w:after="120"/>
    </w:pPr>
    <w:rPr>
      <w:sz w:val="16"/>
      <w:szCs w:val="14"/>
    </w:rPr>
  </w:style>
  <w:style w:type="character" w:customStyle="1" w:styleId="BodyText3Char">
    <w:name w:val="Body Text 3 Char"/>
    <w:link w:val="BodyText3"/>
    <w:uiPriority w:val="99"/>
    <w:rsid w:val="0040494C"/>
    <w:rPr>
      <w:rFonts w:eastAsia="SimSun" w:cs="Mangal"/>
      <w:kern w:val="1"/>
      <w:sz w:val="16"/>
      <w:szCs w:val="14"/>
      <w:lang w:eastAsia="hi-IN" w:bidi="hi-IN"/>
    </w:rPr>
  </w:style>
  <w:style w:type="paragraph" w:styleId="Title">
    <w:name w:val="Title"/>
    <w:basedOn w:val="Normal"/>
    <w:next w:val="Subtitle"/>
    <w:link w:val="TitleChar"/>
    <w:qFormat/>
    <w:rsid w:val="00DE27CB"/>
    <w:pPr>
      <w:widowControl/>
      <w:jc w:val="center"/>
    </w:pPr>
    <w:rPr>
      <w:rFonts w:eastAsia="Times New Roman" w:cs="Times New Roman"/>
      <w:b/>
      <w:bCs/>
      <w:kern w:val="0"/>
      <w:lang w:eastAsia="ar-SA" w:bidi="ar-SA"/>
    </w:rPr>
  </w:style>
  <w:style w:type="character" w:customStyle="1" w:styleId="TitleChar">
    <w:name w:val="Title Char"/>
    <w:link w:val="Title"/>
    <w:rsid w:val="00DE27CB"/>
    <w:rPr>
      <w:b/>
      <w:bCs/>
      <w:sz w:val="24"/>
      <w:szCs w:val="24"/>
      <w:lang w:eastAsia="ar-SA"/>
    </w:rPr>
  </w:style>
  <w:style w:type="paragraph" w:styleId="Subtitle">
    <w:name w:val="Subtitle"/>
    <w:basedOn w:val="Normal"/>
    <w:next w:val="Normal"/>
    <w:link w:val="SubtitleChar"/>
    <w:uiPriority w:val="11"/>
    <w:qFormat/>
    <w:rsid w:val="00DE27CB"/>
    <w:pPr>
      <w:spacing w:after="60"/>
      <w:jc w:val="center"/>
      <w:outlineLvl w:val="1"/>
    </w:pPr>
    <w:rPr>
      <w:rFonts w:ascii="Calibri Light" w:eastAsia="Times New Roman" w:hAnsi="Calibri Light"/>
      <w:szCs w:val="21"/>
    </w:rPr>
  </w:style>
  <w:style w:type="character" w:customStyle="1" w:styleId="SubtitleChar">
    <w:name w:val="Subtitle Char"/>
    <w:link w:val="Subtitle"/>
    <w:uiPriority w:val="11"/>
    <w:rsid w:val="00DE27CB"/>
    <w:rPr>
      <w:rFonts w:ascii="Calibri Light" w:eastAsia="Times New Roman" w:hAnsi="Calibri Light" w:cs="Mangal"/>
      <w:kern w:val="1"/>
      <w:sz w:val="24"/>
      <w:szCs w:val="21"/>
      <w:lang w:eastAsia="hi-IN" w:bidi="hi-IN"/>
    </w:rPr>
  </w:style>
  <w:style w:type="paragraph" w:styleId="BalloonText">
    <w:name w:val="Balloon Text"/>
    <w:basedOn w:val="Normal"/>
    <w:link w:val="BalloonTextChar"/>
    <w:uiPriority w:val="99"/>
    <w:semiHidden/>
    <w:unhideWhenUsed/>
    <w:rsid w:val="00F62D05"/>
    <w:rPr>
      <w:rFonts w:ascii="Segoe UI" w:hAnsi="Segoe UI"/>
      <w:sz w:val="18"/>
      <w:szCs w:val="16"/>
    </w:rPr>
  </w:style>
  <w:style w:type="character" w:customStyle="1" w:styleId="BalloonTextChar">
    <w:name w:val="Balloon Text Char"/>
    <w:link w:val="BalloonText"/>
    <w:uiPriority w:val="99"/>
    <w:semiHidden/>
    <w:rsid w:val="00F62D05"/>
    <w:rPr>
      <w:rFonts w:ascii="Segoe UI" w:eastAsia="SimSun" w:hAnsi="Segoe UI" w:cs="Mangal"/>
      <w:kern w:val="1"/>
      <w:sz w:val="18"/>
      <w:szCs w:val="16"/>
      <w:lang w:eastAsia="hi-IN" w:bidi="hi-IN"/>
    </w:rPr>
  </w:style>
  <w:style w:type="paragraph" w:customStyle="1" w:styleId="DefaultText">
    <w:name w:val="Default Text"/>
    <w:basedOn w:val="Normal"/>
    <w:rsid w:val="001726C3"/>
    <w:pPr>
      <w:widowControl/>
      <w:suppressAutoHyphens w:val="0"/>
      <w:overflowPunct w:val="0"/>
      <w:autoSpaceDE w:val="0"/>
      <w:autoSpaceDN w:val="0"/>
      <w:adjustRightInd w:val="0"/>
      <w:textAlignment w:val="baseline"/>
    </w:pPr>
    <w:rPr>
      <w:rFonts w:eastAsia="Times New Roman" w:cs="Times New Roman"/>
      <w:kern w:val="0"/>
      <w:szCs w:val="20"/>
      <w:lang w:eastAsia="en-GB" w:bidi="ar-SA"/>
    </w:rPr>
  </w:style>
</w:styles>
</file>

<file path=word/webSettings.xml><?xml version="1.0" encoding="utf-8"?>
<w:webSettings xmlns:r="http://schemas.openxmlformats.org/officeDocument/2006/relationships" xmlns:w="http://schemas.openxmlformats.org/wordprocessingml/2006/main">
  <w:divs>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51AA-E4E1-48E8-BA6A-2C747388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Atkins</dc:creator>
  <cp:lastModifiedBy>Archdeacon</cp:lastModifiedBy>
  <cp:revision>3</cp:revision>
  <cp:lastPrinted>2017-10-05T09:16:00Z</cp:lastPrinted>
  <dcterms:created xsi:type="dcterms:W3CDTF">2018-10-22T11:28:00Z</dcterms:created>
  <dcterms:modified xsi:type="dcterms:W3CDTF">2018-10-22T15:09:00Z</dcterms:modified>
</cp:coreProperties>
</file>